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51F9B493"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68533C">
        <w:t>10</w:t>
      </w:r>
      <w:r>
        <w:tab/>
      </w:r>
      <w:r>
        <w:tab/>
      </w:r>
      <w:r w:rsidR="00722839" w:rsidRPr="00722839">
        <w:t>R4-2400238</w:t>
      </w:r>
    </w:p>
    <w:p w14:paraId="50DC9730" w14:textId="7FF034B9" w:rsidR="00D309CC" w:rsidRPr="002F2CF6" w:rsidRDefault="0068533C" w:rsidP="00BC2F5A">
      <w:pPr>
        <w:pStyle w:val="CH"/>
        <w:tabs>
          <w:tab w:val="clear" w:pos="7920"/>
        </w:tabs>
        <w:rPr>
          <w:b w:val="0"/>
        </w:rPr>
      </w:pPr>
      <w:r>
        <w:t>Athens</w:t>
      </w:r>
      <w:r w:rsidR="00AF409A">
        <w:t xml:space="preserve">, </w:t>
      </w:r>
      <w:r>
        <w:t>Greece</w:t>
      </w:r>
      <w:r w:rsidR="000D7FB6">
        <w:t xml:space="preserve">, </w:t>
      </w:r>
      <w:r>
        <w:t>February</w:t>
      </w:r>
      <w:r w:rsidR="000D7FB6" w:rsidRPr="000D7FB6">
        <w:t xml:space="preserve"> </w:t>
      </w:r>
      <w:r>
        <w:t>26</w:t>
      </w:r>
      <w:r w:rsidR="000D7FB6" w:rsidRPr="000D7FB6">
        <w:t xml:space="preserve"> –</w:t>
      </w:r>
      <w:r w:rsidR="0063630D">
        <w:t xml:space="preserve"> </w:t>
      </w:r>
      <w:r>
        <w:t>March 1st</w:t>
      </w:r>
      <w:r w:rsidR="000D7FB6" w:rsidRPr="000D7FB6">
        <w:t>, 2023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C164B6C" w:rsidR="00D309CC" w:rsidRPr="002F2CF6" w:rsidRDefault="00D309CC" w:rsidP="00D309CC">
      <w:pPr>
        <w:pStyle w:val="CH"/>
        <w:rPr>
          <w:b w:val="0"/>
        </w:rPr>
      </w:pPr>
      <w:r w:rsidRPr="002F2CF6">
        <w:t>Agenda item:</w:t>
      </w:r>
      <w:r w:rsidRPr="002F2CF6">
        <w:tab/>
      </w:r>
      <w:r w:rsidR="00722839">
        <w:t>14</w:t>
      </w:r>
    </w:p>
    <w:p w14:paraId="4DBE005A" w14:textId="3CBA3FAF" w:rsidR="00D309CC" w:rsidRPr="002F2CF6" w:rsidRDefault="00D309CC" w:rsidP="002E59AC">
      <w:pPr>
        <w:pStyle w:val="CH"/>
        <w:ind w:left="2268" w:hanging="2268"/>
        <w:rPr>
          <w:b w:val="0"/>
        </w:rPr>
      </w:pPr>
      <w:r w:rsidRPr="002F2CF6">
        <w:t>Source:</w:t>
      </w:r>
      <w:r w:rsidRPr="002F2CF6">
        <w:tab/>
      </w:r>
      <w:r w:rsidRPr="00557A65">
        <w:t>Apple</w:t>
      </w:r>
    </w:p>
    <w:p w14:paraId="0D2061A1" w14:textId="7F5C1252" w:rsidR="00D309CC" w:rsidRPr="002F2CF6" w:rsidRDefault="00D309CC" w:rsidP="00E54DB8">
      <w:pPr>
        <w:pStyle w:val="CH"/>
        <w:ind w:left="2268" w:hanging="2268"/>
      </w:pPr>
      <w:r w:rsidRPr="002F2CF6">
        <w:t>Title:</w:t>
      </w:r>
      <w:r w:rsidRPr="002F2CF6">
        <w:tab/>
      </w:r>
      <w:r w:rsidR="00722839" w:rsidRPr="00722839">
        <w:t>Motivation for supporting irregular channels with the next larger channel bandwidth in Rel-19</w:t>
      </w:r>
    </w:p>
    <w:p w14:paraId="5F82485A" w14:textId="72FDF1BD" w:rsidR="00B36419" w:rsidRDefault="00B36419" w:rsidP="00D309CC">
      <w:pPr>
        <w:pStyle w:val="CH"/>
      </w:pPr>
      <w:r w:rsidRPr="00B63C83">
        <w:t>WI/SI:</w:t>
      </w:r>
      <w:r w:rsidRPr="00B63C83">
        <w:tab/>
      </w:r>
    </w:p>
    <w:p w14:paraId="3FFD491D" w14:textId="2DBD5DB1" w:rsidR="00253BAB" w:rsidRDefault="00253BAB" w:rsidP="00D309CC">
      <w:pPr>
        <w:pStyle w:val="CH"/>
      </w:pPr>
      <w:r>
        <w:t>Release:</w:t>
      </w:r>
      <w:r>
        <w:tab/>
        <w:t>Rel-1</w:t>
      </w:r>
      <w:r w:rsidR="00722839">
        <w:t>9</w:t>
      </w:r>
    </w:p>
    <w:p w14:paraId="2E4E044D" w14:textId="74C1A3FC" w:rsidR="00D309CC" w:rsidRPr="002F2CF6" w:rsidRDefault="00D309CC" w:rsidP="00D309CC">
      <w:pPr>
        <w:pStyle w:val="CH"/>
      </w:pPr>
      <w:r w:rsidRPr="002F2CF6">
        <w:t>Document for:</w:t>
      </w:r>
      <w:r w:rsidRPr="002F2CF6">
        <w:tab/>
      </w:r>
      <w:r w:rsidR="00722839">
        <w:t>Information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6F1B22EE" w14:textId="3BB2FCB3" w:rsidR="00722839"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r w:rsidR="006A532E">
        <w:t>The SI was concluded at RAN#99 meeting with the general conclusions that two methods – overlapping channels from network perspective and the next larger channel – can be used to support irregular channels</w:t>
      </w:r>
      <w:r w:rsidR="00722839">
        <w:t>.</w:t>
      </w:r>
      <w:r w:rsidR="006A532E">
        <w:t xml:space="preserve"> </w:t>
      </w:r>
      <w:r w:rsidR="00722839">
        <w:t>In fact, overlapping channels from the network perspective do not need any changes at the UE side and thus it was implicitly concluded that this method can be construed as the "default" or the baseline approach.</w:t>
      </w:r>
    </w:p>
    <w:p w14:paraId="47DA2782" w14:textId="489F2772" w:rsidR="008B4D9E" w:rsidRDefault="006A532E" w:rsidP="0068207C">
      <w:r>
        <w:t>In addition to that, companies concluded that the existing channel raster design is not flexible and does not allow configuring certain NR channel combinations. In response to that RAN#99 agree</w:t>
      </w:r>
      <w:r w:rsidR="00722839">
        <w:t>d</w:t>
      </w:r>
      <w:r>
        <w:t xml:space="preserve"> a new </w:t>
      </w:r>
      <w:r w:rsidR="00722839">
        <w:t xml:space="preserve">Rel-18 </w:t>
      </w:r>
      <w:r>
        <w:t xml:space="preserve">WI with the only main objective to enable a more flexible raster design </w:t>
      </w:r>
      <w:r w:rsidR="00CD19CA">
        <w:fldChar w:fldCharType="begin"/>
      </w:r>
      <w:r w:rsidR="00CD19CA">
        <w:instrText xml:space="preserve"> REF _Ref131599125 \r \h </w:instrText>
      </w:r>
      <w:r w:rsidR="00CD19CA">
        <w:fldChar w:fldCharType="separate"/>
      </w:r>
      <w:r w:rsidR="00CD19CA">
        <w:t>[2]</w:t>
      </w:r>
      <w:r w:rsidR="00CD19CA">
        <w:fldChar w:fldCharType="end"/>
      </w:r>
      <w:r>
        <w:t xml:space="preserve">.  </w:t>
      </w:r>
      <w:r w:rsidR="00722839">
        <w:t>The WI was completed at RAN#102 offering a more granular 10KHz raster for terrestrial and satellite networks.</w:t>
      </w:r>
    </w:p>
    <w:p w14:paraId="3D93B3E8" w14:textId="074BFC2E" w:rsidR="00C04447" w:rsidRDefault="006A532E" w:rsidP="00E82213">
      <w:r>
        <w:t xml:space="preserve">While </w:t>
      </w:r>
      <w:r w:rsidR="00722839">
        <w:t xml:space="preserve">combination of overlapping channels from the network perspective and the enhanced channel raster offer much better opportunities for operators to support irregular spectrum blocks, an individual UE can use resource blocks limited by </w:t>
      </w:r>
      <w:r w:rsidR="008F59B7">
        <w:t>one of the</w:t>
      </w:r>
      <w:r w:rsidR="00722839">
        <w:t xml:space="preserve"> overlapping cell</w:t>
      </w:r>
      <w:r w:rsidR="008F59B7">
        <w:t>s.</w:t>
      </w:r>
      <w:r w:rsidR="00722839">
        <w:t xml:space="preserve"> </w:t>
      </w:r>
      <w:r w:rsidR="008F59B7">
        <w:t xml:space="preserve">This is </w:t>
      </w:r>
      <w:r w:rsidR="00722839">
        <w:t xml:space="preserve">because from the UE perspective it is associated with one of </w:t>
      </w:r>
      <w:r w:rsidR="008F59B7">
        <w:t>the cells</w:t>
      </w:r>
      <w:r w:rsidR="00722839">
        <w:t xml:space="preserve">, i.e. a UE cannot be scheduled over </w:t>
      </w:r>
      <w:r w:rsidR="008F59B7">
        <w:t xml:space="preserve">two </w:t>
      </w:r>
      <w:r w:rsidR="00722839">
        <w:t xml:space="preserve">overlapping cells. In response to that limitation RAN4 WG4 contemplated so-called "next larger channel" solution, which allows a UE to use all RBs spanning the irregular spectrum block. This approach was not pursued in Rel-18 because companies preferred to focus on enhanced channel raster. </w:t>
      </w:r>
      <w:r w:rsidR="002C1767">
        <w:t xml:space="preserve">Thus, in this discussion paper we present our further considerations on </w:t>
      </w:r>
      <w:r w:rsidR="00722839">
        <w:t xml:space="preserve">benefits of the "next larger channel" </w:t>
      </w:r>
      <w:r w:rsidR="00EF62B8">
        <w:t xml:space="preserve">and </w:t>
      </w:r>
      <w:r w:rsidR="00722839">
        <w:t xml:space="preserve">suggest </w:t>
      </w:r>
      <w:r w:rsidR="00EF62B8">
        <w:t>considering</w:t>
      </w:r>
      <w:r w:rsidR="00722839">
        <w:t xml:space="preserve"> the corresponding normative work in Rel-19</w:t>
      </w:r>
      <w:r w:rsidR="002C1767">
        <w:t>.</w:t>
      </w:r>
    </w:p>
    <w:p w14:paraId="297C8EAE" w14:textId="77777777" w:rsidR="00FF1941" w:rsidRPr="00A6171D" w:rsidRDefault="00FF1941" w:rsidP="00E82213"/>
    <w:p w14:paraId="5509C008" w14:textId="77777777" w:rsidR="00501E62" w:rsidRDefault="00E3176F" w:rsidP="00E3176F">
      <w:pPr>
        <w:pStyle w:val="Heading1"/>
      </w:pPr>
      <w:r>
        <w:t>2</w:t>
      </w:r>
      <w:r>
        <w:tab/>
      </w:r>
      <w:r w:rsidR="00501E62">
        <w:t>Further enhancements for</w:t>
      </w:r>
      <w:r w:rsidR="00722839">
        <w:t xml:space="preserve"> irregular spectrum</w:t>
      </w:r>
    </w:p>
    <w:p w14:paraId="616CFC1D" w14:textId="12211B7C" w:rsidR="00E3176F" w:rsidRDefault="00501E62" w:rsidP="00501E62">
      <w:pPr>
        <w:pStyle w:val="Heading2"/>
      </w:pPr>
      <w:r>
        <w:t>2.1</w:t>
      </w:r>
      <w:r>
        <w:tab/>
        <w:t>Next larger channel</w:t>
      </w:r>
      <w:r w:rsidR="006C708C">
        <w:t xml:space="preserve"> </w:t>
      </w:r>
    </w:p>
    <w:p w14:paraId="773B6EC6" w14:textId="57A870A8" w:rsidR="00EF62B8" w:rsidRDefault="00EF62B8" w:rsidP="002E59AC">
      <w:r>
        <w:t xml:space="preserve">As mentioned in the Introduction part, the irregular channel SI concluded that the network </w:t>
      </w:r>
      <w:proofErr w:type="gramStart"/>
      <w:r>
        <w:t>can</w:t>
      </w:r>
      <w:proofErr w:type="gramEnd"/>
      <w:r>
        <w:t xml:space="preserve"> use </w:t>
      </w:r>
      <w:r w:rsidR="007D4B9F">
        <w:t xml:space="preserve">so-called </w:t>
      </w:r>
      <w:r>
        <w:t>overlapping channels</w:t>
      </w:r>
      <w:r w:rsidR="008F59B7">
        <w:t xml:space="preserve"> from the network perspective</w:t>
      </w:r>
      <w:r>
        <w:t>, basic concept of which is shown in the Figure 2</w:t>
      </w:r>
      <w:r w:rsidR="00501E62">
        <w:t>.1</w:t>
      </w:r>
      <w:r>
        <w:t xml:space="preserve">-1 below using the 6MHz spectrum block as an example. As can be seen from the figure, the network can configure two RB-aligned 5MHz cells so that from the network perspective all RBs can be scheduled spanning the given spectrum block.  </w:t>
      </w:r>
    </w:p>
    <w:p w14:paraId="59CB64FB" w14:textId="5A592A8C" w:rsidR="00EF62B8" w:rsidRDefault="00EF62B8" w:rsidP="007D4B9F">
      <w:pPr>
        <w:jc w:val="center"/>
      </w:pPr>
      <w:r w:rsidRPr="00722340">
        <w:rPr>
          <w:rFonts w:eastAsia="MS Mincho"/>
          <w:noProof/>
        </w:rPr>
        <w:drawing>
          <wp:inline distT="0" distB="0" distL="0" distR="0" wp14:anchorId="29C2199F" wp14:editId="72F9038C">
            <wp:extent cx="4910283" cy="795131"/>
            <wp:effectExtent l="0" t="0" r="5080" b="508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9723" cy="807995"/>
                    </a:xfrm>
                    <a:prstGeom prst="rect">
                      <a:avLst/>
                    </a:prstGeom>
                    <a:noFill/>
                    <a:ln>
                      <a:noFill/>
                    </a:ln>
                  </pic:spPr>
                </pic:pic>
              </a:graphicData>
            </a:graphic>
          </wp:inline>
        </w:drawing>
      </w:r>
    </w:p>
    <w:p w14:paraId="6E161604" w14:textId="5C78E7AC" w:rsidR="00EF62B8" w:rsidRDefault="006B6473" w:rsidP="006B6473">
      <w:pPr>
        <w:pStyle w:val="TF"/>
      </w:pPr>
      <w:r w:rsidRPr="009436AE">
        <w:rPr>
          <w:rFonts w:eastAsiaTheme="minorEastAsia"/>
        </w:rPr>
        <w:t xml:space="preserve">Figure </w:t>
      </w:r>
      <w:r>
        <w:rPr>
          <w:rFonts w:eastAsiaTheme="minorEastAsia"/>
        </w:rPr>
        <w:t>2</w:t>
      </w:r>
      <w:r w:rsidR="00501E62">
        <w:rPr>
          <w:rFonts w:eastAsiaTheme="minorEastAsia"/>
        </w:rPr>
        <w:t>.1</w:t>
      </w:r>
      <w:r w:rsidRPr="009436AE">
        <w:rPr>
          <w:rFonts w:eastAsiaTheme="minorEastAsia"/>
        </w:rPr>
        <w:t xml:space="preserve">-1: </w:t>
      </w:r>
      <w:r>
        <w:rPr>
          <w:rFonts w:eastAsiaTheme="minorEastAsia"/>
        </w:rPr>
        <w:t>6MHz spectrum block with overlapping channels.</w:t>
      </w:r>
    </w:p>
    <w:p w14:paraId="3395964D" w14:textId="77777777" w:rsidR="00EF62B8" w:rsidRDefault="00EF62B8" w:rsidP="002E59AC"/>
    <w:p w14:paraId="1D34BA99" w14:textId="76C90593" w:rsidR="006B6473" w:rsidRDefault="00EF62B8" w:rsidP="002E59AC">
      <w:r>
        <w:t xml:space="preserve">One of major limitations of the overlapping channels is that from a UE perspective only one </w:t>
      </w:r>
      <w:r w:rsidR="008F59B7">
        <w:t>cell</w:t>
      </w:r>
      <w:r>
        <w:t xml:space="preserve"> be used to send/receive data</w:t>
      </w:r>
      <w:r w:rsidR="002E59AC">
        <w:t>.</w:t>
      </w:r>
      <w:r>
        <w:t xml:space="preserve"> On the contrary to it, the next larger channel approach assumes </w:t>
      </w:r>
      <w:r w:rsidR="006B6473">
        <w:t xml:space="preserve">that the network configures the cell with </w:t>
      </w:r>
      <w:r w:rsidR="008F59B7">
        <w:t xml:space="preserve">the </w:t>
      </w:r>
      <w:r w:rsidR="006B6473">
        <w:t>standard channel bandwidth size and use only a portion of RBs matching the available spectrum block. Using same 6MHz channel as an example, Figure 2</w:t>
      </w:r>
      <w:r w:rsidR="00501E62">
        <w:t>.1</w:t>
      </w:r>
      <w:r w:rsidR="006B6473">
        <w:t>-2 below shows the next larger 10MHz channel with blanked RBs</w:t>
      </w:r>
      <w:r w:rsidR="00A84FB0">
        <w:t xml:space="preserve"> so that all the RB grids </w:t>
      </w:r>
      <w:r w:rsidR="008F59B7">
        <w:t>are</w:t>
      </w:r>
      <w:r w:rsidR="00A84FB0">
        <w:t xml:space="preserve"> aligned and the resulting number of RBs matches overlapping channels</w:t>
      </w:r>
      <w:r w:rsidR="006B6473">
        <w:t>.</w:t>
      </w:r>
      <w:r w:rsidR="00A84FB0">
        <w:t xml:space="preserve"> Figure 2</w:t>
      </w:r>
      <w:r w:rsidR="00501E62">
        <w:t>.1</w:t>
      </w:r>
      <w:r w:rsidR="00A84FB0">
        <w:t xml:space="preserve">-2 also shows that the network can support and use simultaneously different methods for irregular channels. While overlapping channels can be construed as default or baseline solution suitable for legacy devices, the next larger channel solution can be enabled per a UE as the dedicated channel configuration. </w:t>
      </w:r>
    </w:p>
    <w:p w14:paraId="22EA4EB8" w14:textId="0DEBD7AD" w:rsidR="00077219" w:rsidRDefault="00077219" w:rsidP="002E59AC">
      <w:r>
        <w:rPr>
          <w:noProof/>
        </w:rPr>
        <w:drawing>
          <wp:inline distT="0" distB="0" distL="0" distR="0" wp14:anchorId="2BBDCDAF" wp14:editId="5CAC7DE6">
            <wp:extent cx="6122035" cy="793115"/>
            <wp:effectExtent l="0" t="0" r="0" b="0"/>
            <wp:docPr id="499300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300304" name="Picture 499300304"/>
                    <pic:cNvPicPr/>
                  </pic:nvPicPr>
                  <pic:blipFill>
                    <a:blip r:embed="rId10">
                      <a:extLst>
                        <a:ext uri="{28A0092B-C50C-407E-A947-70E740481C1C}">
                          <a14:useLocalDpi xmlns:a14="http://schemas.microsoft.com/office/drawing/2010/main" val="0"/>
                        </a:ext>
                      </a:extLst>
                    </a:blip>
                    <a:stretch>
                      <a:fillRect/>
                    </a:stretch>
                  </pic:blipFill>
                  <pic:spPr>
                    <a:xfrm>
                      <a:off x="0" y="0"/>
                      <a:ext cx="6122035" cy="793115"/>
                    </a:xfrm>
                    <a:prstGeom prst="rect">
                      <a:avLst/>
                    </a:prstGeom>
                  </pic:spPr>
                </pic:pic>
              </a:graphicData>
            </a:graphic>
          </wp:inline>
        </w:drawing>
      </w:r>
    </w:p>
    <w:p w14:paraId="552FDC4C" w14:textId="6B7EF3A1" w:rsidR="006B6473" w:rsidRDefault="006B6473" w:rsidP="006B6473">
      <w:pPr>
        <w:pStyle w:val="TF"/>
      </w:pPr>
      <w:r w:rsidRPr="009436AE">
        <w:rPr>
          <w:rFonts w:eastAsiaTheme="minorEastAsia"/>
        </w:rPr>
        <w:t xml:space="preserve">Figure </w:t>
      </w:r>
      <w:r>
        <w:rPr>
          <w:rFonts w:eastAsiaTheme="minorEastAsia"/>
        </w:rPr>
        <w:t>2</w:t>
      </w:r>
      <w:r w:rsidR="00501E62">
        <w:rPr>
          <w:rFonts w:eastAsiaTheme="minorEastAsia"/>
        </w:rPr>
        <w:t>.1</w:t>
      </w:r>
      <w:r w:rsidRPr="009436AE">
        <w:rPr>
          <w:rFonts w:eastAsiaTheme="minorEastAsia"/>
        </w:rPr>
        <w:t>-</w:t>
      </w:r>
      <w:r w:rsidR="007D4B9F">
        <w:rPr>
          <w:rFonts w:eastAsiaTheme="minorEastAsia"/>
        </w:rPr>
        <w:t>2</w:t>
      </w:r>
      <w:r w:rsidRPr="009436AE">
        <w:rPr>
          <w:rFonts w:eastAsiaTheme="minorEastAsia"/>
        </w:rPr>
        <w:t xml:space="preserve">: </w:t>
      </w:r>
      <w:r>
        <w:rPr>
          <w:rFonts w:eastAsiaTheme="minorEastAsia"/>
        </w:rPr>
        <w:t>6MHz spectrum block with overlapping channels and the next larger channel.</w:t>
      </w:r>
    </w:p>
    <w:p w14:paraId="58B6ABD8" w14:textId="11B560C0" w:rsidR="002E59AC" w:rsidRDefault="007D4B9F" w:rsidP="002E59AC">
      <w:r>
        <w:t xml:space="preserve">The next larger channel approach can be applied to any irregular spectrum block </w:t>
      </w:r>
      <w:proofErr w:type="gramStart"/>
      <w:r>
        <w:t>as long as</w:t>
      </w:r>
      <w:proofErr w:type="gramEnd"/>
      <w:r>
        <w:t xml:space="preserve"> the network can configure the next larger channel. As an example, Table 2</w:t>
      </w:r>
      <w:r w:rsidR="00501E62">
        <w:t>.1</w:t>
      </w:r>
      <w:r>
        <w:t>-1 below presents exemplary number of available RBs for different irregular channels. Since RAN WG4 concluded not to introduce irregular channels into the core specifications, guard bands are assumed to be same as for the next larger channel, from which the number of available RBs is calculated accordingly.</w:t>
      </w:r>
      <w:r w:rsidR="006B6473">
        <w:t xml:space="preserve"> </w:t>
      </w:r>
    </w:p>
    <w:p w14:paraId="72EB658B" w14:textId="122263B3" w:rsidR="002E59AC" w:rsidRDefault="002E59AC" w:rsidP="002E59AC">
      <w:pPr>
        <w:pStyle w:val="TH"/>
      </w:pPr>
      <w:r>
        <w:t>Table 2</w:t>
      </w:r>
      <w:r w:rsidR="00501E62">
        <w:t>.1</w:t>
      </w:r>
      <w:r>
        <w:t xml:space="preserve">-1: </w:t>
      </w:r>
      <w:r w:rsidR="00EF62B8">
        <w:t>Exemplary number of RBs based on the next larger channel</w:t>
      </w:r>
      <w:r w:rsidR="00C9666E">
        <w:t>.</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EF62B8" w:rsidRPr="008310E3" w14:paraId="698073DF" w14:textId="77777777" w:rsidTr="002F3A10">
        <w:tc>
          <w:tcPr>
            <w:tcW w:w="1134" w:type="dxa"/>
          </w:tcPr>
          <w:p w14:paraId="05DA8773" w14:textId="77777777" w:rsidR="00EF62B8" w:rsidRPr="008310E3" w:rsidRDefault="00EF62B8" w:rsidP="002F3A10">
            <w:pPr>
              <w:pStyle w:val="TAH"/>
            </w:pPr>
            <w:r w:rsidRPr="008310E3">
              <w:t>Channel (MHz)</w:t>
            </w:r>
          </w:p>
        </w:tc>
        <w:tc>
          <w:tcPr>
            <w:tcW w:w="1276" w:type="dxa"/>
          </w:tcPr>
          <w:p w14:paraId="2B8AFAEE" w14:textId="77777777" w:rsidR="00EF62B8" w:rsidRPr="008310E3" w:rsidRDefault="00EF62B8" w:rsidP="002F3A10">
            <w:pPr>
              <w:pStyle w:val="TAH"/>
            </w:pPr>
            <w:r w:rsidRPr="008310E3">
              <w:t>Next larger channel (MHz)</w:t>
            </w:r>
          </w:p>
        </w:tc>
        <w:tc>
          <w:tcPr>
            <w:tcW w:w="1559" w:type="dxa"/>
          </w:tcPr>
          <w:p w14:paraId="0DC94020" w14:textId="77777777" w:rsidR="00EF62B8" w:rsidRPr="008310E3" w:rsidRDefault="00EF62B8" w:rsidP="002F3A10">
            <w:pPr>
              <w:pStyle w:val="TAH"/>
            </w:pPr>
            <w:r w:rsidRPr="008310E3">
              <w:t>Next larger channel guard band (kHz)</w:t>
            </w:r>
          </w:p>
        </w:tc>
        <w:tc>
          <w:tcPr>
            <w:tcW w:w="1276" w:type="dxa"/>
          </w:tcPr>
          <w:p w14:paraId="7CADBFEC" w14:textId="77777777" w:rsidR="00EF62B8" w:rsidRPr="008310E3" w:rsidRDefault="00EF62B8" w:rsidP="002F3A10">
            <w:pPr>
              <w:pStyle w:val="TAH"/>
            </w:pPr>
            <w:r w:rsidRPr="008310E3">
              <w:t xml:space="preserve">Next larger channel </w:t>
            </w:r>
          </w:p>
          <w:p w14:paraId="30A8B8B2" w14:textId="77777777" w:rsidR="00EF62B8" w:rsidRPr="008310E3" w:rsidRDefault="00EF62B8" w:rsidP="002F3A10">
            <w:pPr>
              <w:pStyle w:val="TAH"/>
            </w:pPr>
            <w:proofErr w:type="spellStart"/>
            <w:r w:rsidRPr="008310E3">
              <w:t>Nrb</w:t>
            </w:r>
            <w:proofErr w:type="spellEnd"/>
          </w:p>
        </w:tc>
        <w:tc>
          <w:tcPr>
            <w:tcW w:w="1211" w:type="dxa"/>
          </w:tcPr>
          <w:p w14:paraId="53C25729" w14:textId="77777777" w:rsidR="00EF62B8" w:rsidRPr="008310E3" w:rsidRDefault="00EF62B8" w:rsidP="002F3A10">
            <w:pPr>
              <w:pStyle w:val="TAH"/>
            </w:pPr>
            <w:r w:rsidRPr="008310E3">
              <w:t xml:space="preserve">Channel </w:t>
            </w:r>
            <w:proofErr w:type="spellStart"/>
            <w:r w:rsidRPr="008310E3">
              <w:t>Nrb</w:t>
            </w:r>
            <w:proofErr w:type="spellEnd"/>
          </w:p>
        </w:tc>
        <w:tc>
          <w:tcPr>
            <w:tcW w:w="1276" w:type="dxa"/>
          </w:tcPr>
          <w:p w14:paraId="61969935" w14:textId="77777777" w:rsidR="00EF62B8" w:rsidRPr="008310E3" w:rsidRDefault="00EF62B8" w:rsidP="002F3A10">
            <w:pPr>
              <w:pStyle w:val="TAH"/>
            </w:pPr>
            <w:r w:rsidRPr="008310E3">
              <w:t>Utilisation (%)</w:t>
            </w:r>
          </w:p>
        </w:tc>
      </w:tr>
      <w:tr w:rsidR="00EF62B8" w:rsidRPr="008310E3" w14:paraId="71EAA271" w14:textId="77777777" w:rsidTr="002F3A10">
        <w:tc>
          <w:tcPr>
            <w:tcW w:w="1134" w:type="dxa"/>
          </w:tcPr>
          <w:p w14:paraId="7FEA283F" w14:textId="77777777" w:rsidR="00EF62B8" w:rsidRPr="008310E3" w:rsidRDefault="00EF62B8" w:rsidP="002F3A10">
            <w:pPr>
              <w:pStyle w:val="TAC"/>
            </w:pPr>
            <w:r w:rsidRPr="008310E3">
              <w:t>6</w:t>
            </w:r>
          </w:p>
        </w:tc>
        <w:tc>
          <w:tcPr>
            <w:tcW w:w="1276" w:type="dxa"/>
          </w:tcPr>
          <w:p w14:paraId="5516EADA" w14:textId="77777777" w:rsidR="00EF62B8" w:rsidRPr="008310E3" w:rsidRDefault="00EF62B8" w:rsidP="002F3A10">
            <w:pPr>
              <w:pStyle w:val="TAC"/>
            </w:pPr>
            <w:r w:rsidRPr="008310E3">
              <w:t>10</w:t>
            </w:r>
          </w:p>
        </w:tc>
        <w:tc>
          <w:tcPr>
            <w:tcW w:w="1559" w:type="dxa"/>
          </w:tcPr>
          <w:p w14:paraId="6B3C91AC" w14:textId="77777777" w:rsidR="00EF62B8" w:rsidRPr="008310E3" w:rsidRDefault="00EF62B8" w:rsidP="002F3A10">
            <w:pPr>
              <w:pStyle w:val="TAC"/>
            </w:pPr>
            <w:r w:rsidRPr="008310E3">
              <w:t>312,5</w:t>
            </w:r>
          </w:p>
        </w:tc>
        <w:tc>
          <w:tcPr>
            <w:tcW w:w="1276" w:type="dxa"/>
          </w:tcPr>
          <w:p w14:paraId="0DAD6395" w14:textId="77777777" w:rsidR="00EF62B8" w:rsidRPr="008310E3" w:rsidRDefault="00EF62B8" w:rsidP="002F3A10">
            <w:pPr>
              <w:pStyle w:val="TAC"/>
            </w:pPr>
            <w:r w:rsidRPr="008310E3">
              <w:t>52</w:t>
            </w:r>
          </w:p>
        </w:tc>
        <w:tc>
          <w:tcPr>
            <w:tcW w:w="1211" w:type="dxa"/>
          </w:tcPr>
          <w:p w14:paraId="4FD1F46A" w14:textId="77777777" w:rsidR="00EF62B8" w:rsidRPr="008310E3" w:rsidRDefault="00EF62B8" w:rsidP="002F3A10">
            <w:pPr>
              <w:pStyle w:val="TAC"/>
            </w:pPr>
            <w:r w:rsidRPr="008310E3">
              <w:t>29</w:t>
            </w:r>
          </w:p>
        </w:tc>
        <w:tc>
          <w:tcPr>
            <w:tcW w:w="1276" w:type="dxa"/>
          </w:tcPr>
          <w:p w14:paraId="449A6392" w14:textId="77777777" w:rsidR="00EF62B8" w:rsidRPr="008310E3" w:rsidRDefault="00EF62B8" w:rsidP="002F3A10">
            <w:pPr>
              <w:pStyle w:val="TAC"/>
            </w:pPr>
            <w:r w:rsidRPr="008310E3">
              <w:t>87</w:t>
            </w:r>
          </w:p>
        </w:tc>
      </w:tr>
      <w:tr w:rsidR="00EF62B8" w:rsidRPr="008310E3" w14:paraId="26D9F7F2" w14:textId="77777777" w:rsidTr="002F3A10">
        <w:tc>
          <w:tcPr>
            <w:tcW w:w="1134" w:type="dxa"/>
          </w:tcPr>
          <w:p w14:paraId="5166B10D" w14:textId="77777777" w:rsidR="00EF62B8" w:rsidRPr="008310E3" w:rsidRDefault="00EF62B8" w:rsidP="002F3A10">
            <w:pPr>
              <w:pStyle w:val="TAC"/>
            </w:pPr>
            <w:r w:rsidRPr="008310E3">
              <w:t>7</w:t>
            </w:r>
          </w:p>
        </w:tc>
        <w:tc>
          <w:tcPr>
            <w:tcW w:w="1276" w:type="dxa"/>
          </w:tcPr>
          <w:p w14:paraId="6BA31E0E" w14:textId="77777777" w:rsidR="00EF62B8" w:rsidRPr="008310E3" w:rsidRDefault="00EF62B8" w:rsidP="002F3A10">
            <w:pPr>
              <w:pStyle w:val="TAC"/>
            </w:pPr>
            <w:r w:rsidRPr="008310E3">
              <w:t>10</w:t>
            </w:r>
          </w:p>
        </w:tc>
        <w:tc>
          <w:tcPr>
            <w:tcW w:w="1559" w:type="dxa"/>
          </w:tcPr>
          <w:p w14:paraId="6BC4F339" w14:textId="77777777" w:rsidR="00EF62B8" w:rsidRPr="008310E3" w:rsidRDefault="00EF62B8" w:rsidP="002F3A10">
            <w:pPr>
              <w:pStyle w:val="TAC"/>
            </w:pPr>
            <w:r w:rsidRPr="008310E3">
              <w:t>312,5</w:t>
            </w:r>
          </w:p>
        </w:tc>
        <w:tc>
          <w:tcPr>
            <w:tcW w:w="1276" w:type="dxa"/>
          </w:tcPr>
          <w:p w14:paraId="7DB3C086" w14:textId="77777777" w:rsidR="00EF62B8" w:rsidRPr="008310E3" w:rsidRDefault="00EF62B8" w:rsidP="002F3A10">
            <w:pPr>
              <w:pStyle w:val="TAC"/>
            </w:pPr>
            <w:r w:rsidRPr="008310E3">
              <w:t>52</w:t>
            </w:r>
          </w:p>
        </w:tc>
        <w:tc>
          <w:tcPr>
            <w:tcW w:w="1211" w:type="dxa"/>
          </w:tcPr>
          <w:p w14:paraId="73EDC764" w14:textId="77777777" w:rsidR="00EF62B8" w:rsidRPr="008310E3" w:rsidRDefault="00EF62B8" w:rsidP="002F3A10">
            <w:pPr>
              <w:pStyle w:val="TAC"/>
            </w:pPr>
            <w:r w:rsidRPr="008310E3">
              <w:t>35</w:t>
            </w:r>
          </w:p>
        </w:tc>
        <w:tc>
          <w:tcPr>
            <w:tcW w:w="1276" w:type="dxa"/>
          </w:tcPr>
          <w:p w14:paraId="04074B22" w14:textId="77777777" w:rsidR="00EF62B8" w:rsidRPr="008310E3" w:rsidRDefault="00EF62B8" w:rsidP="002F3A10">
            <w:pPr>
              <w:pStyle w:val="TAC"/>
            </w:pPr>
            <w:r w:rsidRPr="008310E3">
              <w:t>90</w:t>
            </w:r>
          </w:p>
        </w:tc>
      </w:tr>
      <w:tr w:rsidR="00EF62B8" w:rsidRPr="008310E3" w14:paraId="4DBC442D" w14:textId="77777777" w:rsidTr="002F3A10">
        <w:tc>
          <w:tcPr>
            <w:tcW w:w="1134" w:type="dxa"/>
          </w:tcPr>
          <w:p w14:paraId="1309D948" w14:textId="77777777" w:rsidR="00EF62B8" w:rsidRPr="008310E3" w:rsidRDefault="00EF62B8" w:rsidP="002F3A10">
            <w:pPr>
              <w:pStyle w:val="TAC"/>
            </w:pPr>
            <w:r w:rsidRPr="008310E3">
              <w:t>11</w:t>
            </w:r>
          </w:p>
        </w:tc>
        <w:tc>
          <w:tcPr>
            <w:tcW w:w="1276" w:type="dxa"/>
          </w:tcPr>
          <w:p w14:paraId="7BE154E0" w14:textId="77777777" w:rsidR="00EF62B8" w:rsidRPr="008310E3" w:rsidRDefault="00EF62B8" w:rsidP="002F3A10">
            <w:pPr>
              <w:pStyle w:val="TAC"/>
            </w:pPr>
            <w:r w:rsidRPr="008310E3">
              <w:t>15</w:t>
            </w:r>
          </w:p>
        </w:tc>
        <w:tc>
          <w:tcPr>
            <w:tcW w:w="1559" w:type="dxa"/>
          </w:tcPr>
          <w:p w14:paraId="0E821EA6" w14:textId="77777777" w:rsidR="00EF62B8" w:rsidRPr="008310E3" w:rsidRDefault="00EF62B8" w:rsidP="002F3A10">
            <w:pPr>
              <w:pStyle w:val="TAC"/>
            </w:pPr>
            <w:r w:rsidRPr="008310E3">
              <w:t>382,5</w:t>
            </w:r>
          </w:p>
        </w:tc>
        <w:tc>
          <w:tcPr>
            <w:tcW w:w="1276" w:type="dxa"/>
          </w:tcPr>
          <w:p w14:paraId="30DE70CA" w14:textId="77777777" w:rsidR="00EF62B8" w:rsidRPr="008310E3" w:rsidRDefault="00EF62B8" w:rsidP="002F3A10">
            <w:pPr>
              <w:pStyle w:val="TAC"/>
            </w:pPr>
            <w:r w:rsidRPr="008310E3">
              <w:t>79</w:t>
            </w:r>
          </w:p>
        </w:tc>
        <w:tc>
          <w:tcPr>
            <w:tcW w:w="1211" w:type="dxa"/>
          </w:tcPr>
          <w:p w14:paraId="6099CED8" w14:textId="77777777" w:rsidR="00EF62B8" w:rsidRPr="008310E3" w:rsidRDefault="00EF62B8" w:rsidP="002F3A10">
            <w:pPr>
              <w:pStyle w:val="TAC"/>
            </w:pPr>
            <w:r w:rsidRPr="008310E3">
              <w:t>56</w:t>
            </w:r>
          </w:p>
        </w:tc>
        <w:tc>
          <w:tcPr>
            <w:tcW w:w="1276" w:type="dxa"/>
          </w:tcPr>
          <w:p w14:paraId="07A13007" w14:textId="77777777" w:rsidR="00EF62B8" w:rsidRPr="008310E3" w:rsidRDefault="00EF62B8" w:rsidP="002F3A10">
            <w:pPr>
              <w:pStyle w:val="TAC"/>
            </w:pPr>
            <w:r w:rsidRPr="008310E3">
              <w:t>91,6</w:t>
            </w:r>
          </w:p>
        </w:tc>
      </w:tr>
      <w:tr w:rsidR="00EF62B8" w:rsidRPr="008310E3" w14:paraId="7C2A5D21" w14:textId="77777777" w:rsidTr="002F3A10">
        <w:tc>
          <w:tcPr>
            <w:tcW w:w="1134" w:type="dxa"/>
          </w:tcPr>
          <w:p w14:paraId="4A903EB3" w14:textId="77777777" w:rsidR="00EF62B8" w:rsidRPr="008310E3" w:rsidRDefault="00EF62B8" w:rsidP="002F3A10">
            <w:pPr>
              <w:pStyle w:val="TAC"/>
            </w:pPr>
            <w:r w:rsidRPr="008310E3">
              <w:t>12</w:t>
            </w:r>
          </w:p>
        </w:tc>
        <w:tc>
          <w:tcPr>
            <w:tcW w:w="1276" w:type="dxa"/>
          </w:tcPr>
          <w:p w14:paraId="1AC23664" w14:textId="77777777" w:rsidR="00EF62B8" w:rsidRPr="008310E3" w:rsidRDefault="00EF62B8" w:rsidP="002F3A10">
            <w:pPr>
              <w:pStyle w:val="TAC"/>
            </w:pPr>
            <w:r w:rsidRPr="008310E3">
              <w:t>15</w:t>
            </w:r>
          </w:p>
        </w:tc>
        <w:tc>
          <w:tcPr>
            <w:tcW w:w="1559" w:type="dxa"/>
          </w:tcPr>
          <w:p w14:paraId="27AD5A3E" w14:textId="77777777" w:rsidR="00EF62B8" w:rsidRPr="008310E3" w:rsidRDefault="00EF62B8" w:rsidP="002F3A10">
            <w:pPr>
              <w:pStyle w:val="TAC"/>
            </w:pPr>
            <w:r w:rsidRPr="008310E3">
              <w:t>382,5</w:t>
            </w:r>
          </w:p>
        </w:tc>
        <w:tc>
          <w:tcPr>
            <w:tcW w:w="1276" w:type="dxa"/>
          </w:tcPr>
          <w:p w14:paraId="406BD40A" w14:textId="77777777" w:rsidR="00EF62B8" w:rsidRPr="008310E3" w:rsidRDefault="00EF62B8" w:rsidP="002F3A10">
            <w:pPr>
              <w:pStyle w:val="TAC"/>
            </w:pPr>
            <w:r w:rsidRPr="008310E3">
              <w:t>79</w:t>
            </w:r>
          </w:p>
        </w:tc>
        <w:tc>
          <w:tcPr>
            <w:tcW w:w="1211" w:type="dxa"/>
          </w:tcPr>
          <w:p w14:paraId="03B26378" w14:textId="77777777" w:rsidR="00EF62B8" w:rsidRPr="008310E3" w:rsidRDefault="00EF62B8" w:rsidP="002F3A10">
            <w:pPr>
              <w:pStyle w:val="TAC"/>
            </w:pPr>
            <w:r w:rsidRPr="008310E3">
              <w:t>62</w:t>
            </w:r>
          </w:p>
        </w:tc>
        <w:tc>
          <w:tcPr>
            <w:tcW w:w="1276" w:type="dxa"/>
          </w:tcPr>
          <w:p w14:paraId="6D9EB248" w14:textId="77777777" w:rsidR="00EF62B8" w:rsidRPr="008310E3" w:rsidRDefault="00EF62B8" w:rsidP="002F3A10">
            <w:pPr>
              <w:pStyle w:val="TAC"/>
            </w:pPr>
            <w:r w:rsidRPr="008310E3">
              <w:t>93</w:t>
            </w:r>
          </w:p>
        </w:tc>
      </w:tr>
    </w:tbl>
    <w:p w14:paraId="3B1A9DD5" w14:textId="0760EEE5" w:rsidR="002E59AC" w:rsidRDefault="002E59AC" w:rsidP="002E59AC"/>
    <w:p w14:paraId="6773A580" w14:textId="3306A032" w:rsidR="007D4B9F" w:rsidRDefault="007D4B9F" w:rsidP="002E59AC">
      <w:r>
        <w:t xml:space="preserve">One of the concerns for using the next larger channel </w:t>
      </w:r>
      <w:r w:rsidR="008F59B7">
        <w:t>was</w:t>
      </w:r>
      <w:r>
        <w:t xml:space="preserve"> the UL emissions</w:t>
      </w:r>
      <w:r w:rsidR="00190EC0">
        <w:t xml:space="preserve">, for which TR 38.844 made the following recommendation to consider next </w:t>
      </w:r>
      <w:r w:rsidR="00190EC0" w:rsidRPr="00190EC0">
        <w:rPr>
          <w:i/>
          <w:iCs/>
        </w:rPr>
        <w:t>larger</w:t>
      </w:r>
      <w:r w:rsidR="00190EC0">
        <w:t xml:space="preserve"> channel in DL and the next </w:t>
      </w:r>
      <w:r w:rsidR="00190EC0" w:rsidRPr="00190EC0">
        <w:rPr>
          <w:i/>
          <w:iCs/>
        </w:rPr>
        <w:t>smaller</w:t>
      </w:r>
      <w:r w:rsidR="00190EC0">
        <w:t xml:space="preserve"> channel in UL</w:t>
      </w:r>
      <w:r w:rsidR="008F59B7">
        <w:t xml:space="preserve"> as one potential approach</w:t>
      </w:r>
      <w:r w:rsidR="00190EC0">
        <w:t>:</w:t>
      </w:r>
    </w:p>
    <w:p w14:paraId="3FC6AB6F" w14:textId="725B97BB" w:rsidR="00190EC0" w:rsidRPr="00190EC0" w:rsidRDefault="00190EC0" w:rsidP="00190EC0">
      <w:pPr>
        <w:ind w:left="567"/>
        <w:rPr>
          <w:i/>
          <w:iCs/>
        </w:rPr>
      </w:pPr>
      <w:r w:rsidRPr="00190EC0">
        <w:rPr>
          <w:i/>
          <w:iCs/>
        </w:rPr>
        <w:t>The method of using a larger Channel BW than the licensed BW is based on blanking (not scheduling) PRBs within the larger BW but outside the irregular BW. If applied for the DL only, this method can be supported by specifying an asymmetric UE CHBW bandwidth configuration for band such that its UL CHBW is contained within the irregular UL block and the DL CHBW is larger than the irregular DL block. In this way UE unwanted emission requirement in the UL can be met by means of the regular UE CHBW. The larger DL UE CHBW implies a degraded UE adjacent channel selectivity and blocking performance when the interferer is close to the irregular DL block. However, the method can be supported by using existing UE architectures (since asymmetric bandwidths are supported by the current standard) in combination with new asymmetric CHBW combinations. The method works for both FDD and TDD.</w:t>
      </w:r>
    </w:p>
    <w:p w14:paraId="62221AE1" w14:textId="1F852C25" w:rsidR="00A92C9A" w:rsidRDefault="00A92C9A" w:rsidP="00F474CD">
      <w:r>
        <w:t xml:space="preserve"> </w:t>
      </w:r>
    </w:p>
    <w:p w14:paraId="31330E5F" w14:textId="1AEB1119" w:rsidR="00501E62" w:rsidRDefault="00501E62" w:rsidP="00501E62">
      <w:pPr>
        <w:pStyle w:val="Heading2"/>
      </w:pPr>
      <w:r>
        <w:t>2.2</w:t>
      </w:r>
      <w:r>
        <w:tab/>
        <w:t xml:space="preserve">Related enhancements </w:t>
      </w:r>
    </w:p>
    <w:p w14:paraId="3E2222C0" w14:textId="1C543450" w:rsidR="00501E62" w:rsidRPr="00501E62" w:rsidRDefault="00501E62" w:rsidP="00501E62">
      <w:proofErr w:type="gramStart"/>
      <w:r>
        <w:t>Referring back</w:t>
      </w:r>
      <w:proofErr w:type="gramEnd"/>
      <w:r>
        <w:t xml:space="preserve"> to Figure 2.2-2 as an example, an operator can consider configuring the next larger channel to support the irregular spectrum and it could be the only solution enabled by an operator in the given deployment. At the same time, if the operator intends to support both legacy devices and new ones, then both methods can be enabled: overlapping channels can be used to support legacy and the next larger channel will be enabled as the dedicated UE configuration. In the latter case – and using again Figure 2.2-2 as an example – a</w:t>
      </w:r>
      <w:r w:rsidR="00FB4508">
        <w:t>ll UEs will be camping first on the legacy 5MHZ cell, from which Rel-19</w:t>
      </w:r>
      <w:r>
        <w:t xml:space="preserve"> UE </w:t>
      </w:r>
      <w:r w:rsidR="00FB4508">
        <w:t>can</w:t>
      </w:r>
      <w:r>
        <w:t xml:space="preserve"> be re-configured from the 5MHz channel to the</w:t>
      </w:r>
      <w:r w:rsidR="00FB4508">
        <w:t xml:space="preserve"> next larger</w:t>
      </w:r>
      <w:r>
        <w:t xml:space="preserve"> 10MHz channel. Such a use case was discussed by RAN WG4 and it was concluded that it might require a new UE capability because a UE will be re-configure</w:t>
      </w:r>
      <w:r w:rsidR="00A017A5">
        <w:t>d</w:t>
      </w:r>
      <w:r>
        <w:t xml:space="preserve"> to the channel</w:t>
      </w:r>
      <w:r w:rsidR="00A017A5">
        <w:t xml:space="preserve"> bandwidth larger than SIB1 bandwidth. </w:t>
      </w:r>
      <w:r>
        <w:t xml:space="preserve"> </w:t>
      </w:r>
      <w:r w:rsidR="005B65A9">
        <w:t>Thus, the corresponding enhancement can be considered as part of the potential Rel-19 WI.</w:t>
      </w:r>
    </w:p>
    <w:p w14:paraId="0C897EC7" w14:textId="1A1C5158" w:rsidR="00304FE5" w:rsidRDefault="00304FE5" w:rsidP="00304FE5"/>
    <w:p w14:paraId="34C99636" w14:textId="74BCFD43" w:rsidR="008E7986" w:rsidRPr="00D20165" w:rsidRDefault="00906293" w:rsidP="008E7986">
      <w:pPr>
        <w:pStyle w:val="Heading1"/>
      </w:pPr>
      <w:r>
        <w:t>3</w:t>
      </w:r>
      <w:r w:rsidR="008E7986" w:rsidRPr="00D20165">
        <w:tab/>
        <w:t>Conclusions</w:t>
      </w:r>
    </w:p>
    <w:p w14:paraId="3A8F3054" w14:textId="01284B92" w:rsidR="00FF1941" w:rsidRDefault="00E369B1" w:rsidP="00FF1941">
      <w:r w:rsidRPr="00A336AC">
        <w:t xml:space="preserve">In this discussion paper </w:t>
      </w:r>
      <w:r w:rsidR="00A336AC">
        <w:t xml:space="preserve">we have presented our considerations on enabling so-called "next larger channel" solution, which was already studied and concluded during the corresponding Rel-18 SI. </w:t>
      </w:r>
      <w:r w:rsidR="00306BD4">
        <w:t>Since the SI was completed only in March 2023, the normative work was not started then and thus we suggest enabling the corresponding mechanism in Rel-19. The proposed solution will be applicable to both terrestrial and satellite bands.</w:t>
      </w:r>
      <w:r>
        <w:t xml:space="preserve"> </w:t>
      </w:r>
    </w:p>
    <w:p w14:paraId="4E29B16F" w14:textId="0DAAB5D0" w:rsidR="005B65A9" w:rsidRDefault="005B65A9" w:rsidP="005B65A9">
      <w:pPr>
        <w:pStyle w:val="Proposal"/>
      </w:pPr>
      <w:r>
        <w:t>Proposal:</w:t>
      </w:r>
      <w:r>
        <w:tab/>
        <w:t>Consider a new Rel-19 WI to enable support of the next larger channel.</w:t>
      </w:r>
    </w:p>
    <w:p w14:paraId="58F4A8EE" w14:textId="77777777" w:rsidR="00D45AB0" w:rsidRPr="006168D2" w:rsidRDefault="00D45AB0" w:rsidP="00FF1941"/>
    <w:bookmarkEnd w:id="0"/>
    <w:p w14:paraId="446075F6" w14:textId="408FF564" w:rsidR="001A4A9A" w:rsidRPr="00D20165" w:rsidRDefault="004F75AB" w:rsidP="001A4A9A">
      <w:pPr>
        <w:pStyle w:val="Heading1"/>
      </w:pPr>
      <w:r>
        <w:t>4</w:t>
      </w:r>
      <w:r w:rsidR="001A4A9A" w:rsidRPr="00D20165">
        <w:tab/>
        <w:t>References</w:t>
      </w:r>
    </w:p>
    <w:p w14:paraId="4B66D901" w14:textId="13AFBE71" w:rsidR="00C76D42" w:rsidRDefault="002315A5" w:rsidP="00F62449">
      <w:pPr>
        <w:pStyle w:val="EX"/>
      </w:pPr>
      <w:bookmarkStart w:id="1" w:name="_Ref54370374"/>
      <w:r w:rsidRPr="002315A5">
        <w:t>RP-202103</w:t>
      </w:r>
      <w:r>
        <w:t xml:space="preserve">, "New SID: Study on Efficient utilization of licensed </w:t>
      </w:r>
      <w:r>
        <w:tab/>
        <w:t>spectrum that is not aligned with existing NR channel bandwidths", T-Mobile USA, Ericsson</w:t>
      </w:r>
      <w:bookmarkEnd w:id="1"/>
    </w:p>
    <w:p w14:paraId="5829B8A3" w14:textId="3D2917A9" w:rsidR="00CD19CA" w:rsidRDefault="00CD19CA" w:rsidP="00F62449">
      <w:pPr>
        <w:pStyle w:val="EX"/>
      </w:pPr>
      <w:bookmarkStart w:id="2" w:name="_Ref131599125"/>
      <w:r w:rsidRPr="00CD19CA">
        <w:t>RP-230813</w:t>
      </w:r>
      <w:r>
        <w:t>, "</w:t>
      </w:r>
      <w:r w:rsidRPr="00CD19CA">
        <w:t>New WID on Channel raster enhancement</w:t>
      </w:r>
      <w:r>
        <w:t>", Ericsson</w:t>
      </w:r>
      <w:bookmarkEnd w:id="2"/>
      <w:r>
        <w:t xml:space="preserve"> </w:t>
      </w:r>
    </w:p>
    <w:p w14:paraId="16CE70C9" w14:textId="06C89724" w:rsidR="0057389F" w:rsidRDefault="0057389F" w:rsidP="00F62449">
      <w:pPr>
        <w:pStyle w:val="EX"/>
      </w:pPr>
    </w:p>
    <w:sectPr w:rsidR="0057389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D733" w14:textId="77777777" w:rsidR="00EA4756" w:rsidRDefault="00EA4756">
      <w:r>
        <w:separator/>
      </w:r>
    </w:p>
  </w:endnote>
  <w:endnote w:type="continuationSeparator" w:id="0">
    <w:p w14:paraId="6030AC78" w14:textId="77777777" w:rsidR="00EA4756" w:rsidRDefault="00EA4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F0AA5" w14:textId="77777777" w:rsidR="00EA4756" w:rsidRDefault="00EA4756">
      <w:r>
        <w:separator/>
      </w:r>
    </w:p>
  </w:footnote>
  <w:footnote w:type="continuationSeparator" w:id="0">
    <w:p w14:paraId="42826EEF" w14:textId="77777777" w:rsidR="00EA4756" w:rsidRDefault="00EA47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170BF"/>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59ED"/>
    <w:rsid w:val="00077219"/>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D7664"/>
    <w:rsid w:val="000D7FB6"/>
    <w:rsid w:val="000E021F"/>
    <w:rsid w:val="000E0FDF"/>
    <w:rsid w:val="000E5006"/>
    <w:rsid w:val="000E7E18"/>
    <w:rsid w:val="000E7E28"/>
    <w:rsid w:val="000F06B2"/>
    <w:rsid w:val="000F3A73"/>
    <w:rsid w:val="000F6B44"/>
    <w:rsid w:val="000F6DE5"/>
    <w:rsid w:val="000F7EA1"/>
    <w:rsid w:val="00104BC6"/>
    <w:rsid w:val="001070C5"/>
    <w:rsid w:val="00107896"/>
    <w:rsid w:val="001133AB"/>
    <w:rsid w:val="00114F66"/>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7289"/>
    <w:rsid w:val="00175489"/>
    <w:rsid w:val="00175496"/>
    <w:rsid w:val="001823BF"/>
    <w:rsid w:val="00190EC0"/>
    <w:rsid w:val="00195DFD"/>
    <w:rsid w:val="00196EAF"/>
    <w:rsid w:val="0019748B"/>
    <w:rsid w:val="001A1590"/>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2905"/>
    <w:rsid w:val="00223880"/>
    <w:rsid w:val="00227ABB"/>
    <w:rsid w:val="002315A5"/>
    <w:rsid w:val="00233CDA"/>
    <w:rsid w:val="002347A2"/>
    <w:rsid w:val="00240197"/>
    <w:rsid w:val="00243B9F"/>
    <w:rsid w:val="002450D8"/>
    <w:rsid w:val="00247926"/>
    <w:rsid w:val="002513AD"/>
    <w:rsid w:val="00253BAB"/>
    <w:rsid w:val="002675F0"/>
    <w:rsid w:val="00276EE4"/>
    <w:rsid w:val="002954D8"/>
    <w:rsid w:val="002956C3"/>
    <w:rsid w:val="00295D6A"/>
    <w:rsid w:val="002A0F1F"/>
    <w:rsid w:val="002A6DD9"/>
    <w:rsid w:val="002B168B"/>
    <w:rsid w:val="002B42CA"/>
    <w:rsid w:val="002B4C3E"/>
    <w:rsid w:val="002B6339"/>
    <w:rsid w:val="002C1767"/>
    <w:rsid w:val="002C3DCF"/>
    <w:rsid w:val="002D12F5"/>
    <w:rsid w:val="002D366C"/>
    <w:rsid w:val="002E00EE"/>
    <w:rsid w:val="002E492A"/>
    <w:rsid w:val="002E59AC"/>
    <w:rsid w:val="002E6E67"/>
    <w:rsid w:val="002E7463"/>
    <w:rsid w:val="002F057E"/>
    <w:rsid w:val="002F2CF6"/>
    <w:rsid w:val="002F32C6"/>
    <w:rsid w:val="002F5F31"/>
    <w:rsid w:val="002F6CBC"/>
    <w:rsid w:val="002F7399"/>
    <w:rsid w:val="003036B6"/>
    <w:rsid w:val="00304FE5"/>
    <w:rsid w:val="00305217"/>
    <w:rsid w:val="00306BD4"/>
    <w:rsid w:val="0031034F"/>
    <w:rsid w:val="0031063C"/>
    <w:rsid w:val="00312AA9"/>
    <w:rsid w:val="00313552"/>
    <w:rsid w:val="003169F9"/>
    <w:rsid w:val="003172DC"/>
    <w:rsid w:val="00321796"/>
    <w:rsid w:val="00322FC7"/>
    <w:rsid w:val="00325ED4"/>
    <w:rsid w:val="0033276C"/>
    <w:rsid w:val="00335668"/>
    <w:rsid w:val="00336AC2"/>
    <w:rsid w:val="00337836"/>
    <w:rsid w:val="003448CA"/>
    <w:rsid w:val="003505A8"/>
    <w:rsid w:val="0035462D"/>
    <w:rsid w:val="00356834"/>
    <w:rsid w:val="00360686"/>
    <w:rsid w:val="003631EB"/>
    <w:rsid w:val="00366A6D"/>
    <w:rsid w:val="003701AC"/>
    <w:rsid w:val="0037441D"/>
    <w:rsid w:val="003753AF"/>
    <w:rsid w:val="003765B8"/>
    <w:rsid w:val="0038066E"/>
    <w:rsid w:val="00381990"/>
    <w:rsid w:val="00390C9B"/>
    <w:rsid w:val="00394D23"/>
    <w:rsid w:val="00396185"/>
    <w:rsid w:val="003A0483"/>
    <w:rsid w:val="003A0D7C"/>
    <w:rsid w:val="003B2B5F"/>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36CF"/>
    <w:rsid w:val="004267DF"/>
    <w:rsid w:val="004345EC"/>
    <w:rsid w:val="004459D8"/>
    <w:rsid w:val="0045539B"/>
    <w:rsid w:val="0047076D"/>
    <w:rsid w:val="004720AB"/>
    <w:rsid w:val="00473A1A"/>
    <w:rsid w:val="00477138"/>
    <w:rsid w:val="004826A9"/>
    <w:rsid w:val="00482CA3"/>
    <w:rsid w:val="004875FD"/>
    <w:rsid w:val="004920F0"/>
    <w:rsid w:val="004A6B0A"/>
    <w:rsid w:val="004B2602"/>
    <w:rsid w:val="004B4AEA"/>
    <w:rsid w:val="004B5103"/>
    <w:rsid w:val="004B709D"/>
    <w:rsid w:val="004C1601"/>
    <w:rsid w:val="004C3223"/>
    <w:rsid w:val="004C6E0D"/>
    <w:rsid w:val="004D034A"/>
    <w:rsid w:val="004D3578"/>
    <w:rsid w:val="004D40A9"/>
    <w:rsid w:val="004E213A"/>
    <w:rsid w:val="004E2E28"/>
    <w:rsid w:val="004E5A37"/>
    <w:rsid w:val="004E6A20"/>
    <w:rsid w:val="004F0988"/>
    <w:rsid w:val="004F3340"/>
    <w:rsid w:val="004F3E3D"/>
    <w:rsid w:val="004F42AF"/>
    <w:rsid w:val="004F52F2"/>
    <w:rsid w:val="004F75AB"/>
    <w:rsid w:val="004F7AE1"/>
    <w:rsid w:val="00501E62"/>
    <w:rsid w:val="005020AC"/>
    <w:rsid w:val="00503615"/>
    <w:rsid w:val="00504189"/>
    <w:rsid w:val="0050720F"/>
    <w:rsid w:val="00511ABB"/>
    <w:rsid w:val="00513289"/>
    <w:rsid w:val="005142DF"/>
    <w:rsid w:val="00521C56"/>
    <w:rsid w:val="00526C53"/>
    <w:rsid w:val="00526CFF"/>
    <w:rsid w:val="00527FCC"/>
    <w:rsid w:val="0053388B"/>
    <w:rsid w:val="00534718"/>
    <w:rsid w:val="0053575D"/>
    <w:rsid w:val="00535773"/>
    <w:rsid w:val="00537AB4"/>
    <w:rsid w:val="00543C44"/>
    <w:rsid w:val="00543E6C"/>
    <w:rsid w:val="00551FC5"/>
    <w:rsid w:val="00557A65"/>
    <w:rsid w:val="005610F6"/>
    <w:rsid w:val="005622EE"/>
    <w:rsid w:val="00565087"/>
    <w:rsid w:val="00566ED3"/>
    <w:rsid w:val="00570DD5"/>
    <w:rsid w:val="005721BB"/>
    <w:rsid w:val="00572E14"/>
    <w:rsid w:val="0057389F"/>
    <w:rsid w:val="005771A9"/>
    <w:rsid w:val="00580798"/>
    <w:rsid w:val="00585697"/>
    <w:rsid w:val="005856CE"/>
    <w:rsid w:val="00593DA4"/>
    <w:rsid w:val="00596066"/>
    <w:rsid w:val="005973BE"/>
    <w:rsid w:val="005A2A38"/>
    <w:rsid w:val="005A2A65"/>
    <w:rsid w:val="005A3F5C"/>
    <w:rsid w:val="005A5986"/>
    <w:rsid w:val="005B0196"/>
    <w:rsid w:val="005B3482"/>
    <w:rsid w:val="005B65A9"/>
    <w:rsid w:val="005D2E01"/>
    <w:rsid w:val="005D7526"/>
    <w:rsid w:val="005E2535"/>
    <w:rsid w:val="005E69AE"/>
    <w:rsid w:val="005F4043"/>
    <w:rsid w:val="00600D5B"/>
    <w:rsid w:val="00602AEA"/>
    <w:rsid w:val="00607664"/>
    <w:rsid w:val="00607E3C"/>
    <w:rsid w:val="00610A37"/>
    <w:rsid w:val="00614FDF"/>
    <w:rsid w:val="006168D2"/>
    <w:rsid w:val="006246A7"/>
    <w:rsid w:val="0062595A"/>
    <w:rsid w:val="00632227"/>
    <w:rsid w:val="006337F2"/>
    <w:rsid w:val="00634730"/>
    <w:rsid w:val="0063543D"/>
    <w:rsid w:val="0063630D"/>
    <w:rsid w:val="00647114"/>
    <w:rsid w:val="00651308"/>
    <w:rsid w:val="00654D3E"/>
    <w:rsid w:val="00662404"/>
    <w:rsid w:val="006675E6"/>
    <w:rsid w:val="006704EC"/>
    <w:rsid w:val="006750D2"/>
    <w:rsid w:val="006777E8"/>
    <w:rsid w:val="006818C6"/>
    <w:rsid w:val="0068207C"/>
    <w:rsid w:val="0068362C"/>
    <w:rsid w:val="0068533C"/>
    <w:rsid w:val="00686C3D"/>
    <w:rsid w:val="0069226A"/>
    <w:rsid w:val="00692420"/>
    <w:rsid w:val="00695EB1"/>
    <w:rsid w:val="006A13A8"/>
    <w:rsid w:val="006A29FD"/>
    <w:rsid w:val="006A323F"/>
    <w:rsid w:val="006A532E"/>
    <w:rsid w:val="006A7E02"/>
    <w:rsid w:val="006B0669"/>
    <w:rsid w:val="006B30D0"/>
    <w:rsid w:val="006B6473"/>
    <w:rsid w:val="006B7CA8"/>
    <w:rsid w:val="006C0661"/>
    <w:rsid w:val="006C3D95"/>
    <w:rsid w:val="006C43B4"/>
    <w:rsid w:val="006C4C0D"/>
    <w:rsid w:val="006C4C72"/>
    <w:rsid w:val="006C708C"/>
    <w:rsid w:val="006D43A6"/>
    <w:rsid w:val="006D489B"/>
    <w:rsid w:val="006D4C74"/>
    <w:rsid w:val="006D713E"/>
    <w:rsid w:val="006E0786"/>
    <w:rsid w:val="006E5C86"/>
    <w:rsid w:val="0070310A"/>
    <w:rsid w:val="007037D0"/>
    <w:rsid w:val="00713C44"/>
    <w:rsid w:val="00715490"/>
    <w:rsid w:val="00716FAD"/>
    <w:rsid w:val="00721F55"/>
    <w:rsid w:val="00722839"/>
    <w:rsid w:val="0072589B"/>
    <w:rsid w:val="007316B1"/>
    <w:rsid w:val="00732E98"/>
    <w:rsid w:val="007345D3"/>
    <w:rsid w:val="00734A5B"/>
    <w:rsid w:val="007368AE"/>
    <w:rsid w:val="00737DB9"/>
    <w:rsid w:val="0074026F"/>
    <w:rsid w:val="007429F6"/>
    <w:rsid w:val="00744C8E"/>
    <w:rsid w:val="00744E76"/>
    <w:rsid w:val="00752198"/>
    <w:rsid w:val="0075242E"/>
    <w:rsid w:val="00753881"/>
    <w:rsid w:val="00757095"/>
    <w:rsid w:val="00760317"/>
    <w:rsid w:val="00765D86"/>
    <w:rsid w:val="007713D4"/>
    <w:rsid w:val="00774DA4"/>
    <w:rsid w:val="00774F1E"/>
    <w:rsid w:val="00781A53"/>
    <w:rsid w:val="00781D07"/>
    <w:rsid w:val="00781F0F"/>
    <w:rsid w:val="00782965"/>
    <w:rsid w:val="0078318F"/>
    <w:rsid w:val="00786B9D"/>
    <w:rsid w:val="00792BC0"/>
    <w:rsid w:val="007A0324"/>
    <w:rsid w:val="007A10C0"/>
    <w:rsid w:val="007A4A7F"/>
    <w:rsid w:val="007A5AAB"/>
    <w:rsid w:val="007A634D"/>
    <w:rsid w:val="007B0461"/>
    <w:rsid w:val="007B600E"/>
    <w:rsid w:val="007C0A28"/>
    <w:rsid w:val="007C1DB3"/>
    <w:rsid w:val="007C24D1"/>
    <w:rsid w:val="007C2EB4"/>
    <w:rsid w:val="007C3B1A"/>
    <w:rsid w:val="007C3E62"/>
    <w:rsid w:val="007C413C"/>
    <w:rsid w:val="007C42E3"/>
    <w:rsid w:val="007D45C5"/>
    <w:rsid w:val="007D4B9F"/>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282E"/>
    <w:rsid w:val="008334C0"/>
    <w:rsid w:val="0083621F"/>
    <w:rsid w:val="00840F50"/>
    <w:rsid w:val="00843D2B"/>
    <w:rsid w:val="00850B60"/>
    <w:rsid w:val="008605CF"/>
    <w:rsid w:val="00865DDB"/>
    <w:rsid w:val="008768CA"/>
    <w:rsid w:val="008851FB"/>
    <w:rsid w:val="008929F3"/>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59B7"/>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EC2"/>
    <w:rsid w:val="00943CED"/>
    <w:rsid w:val="009536FA"/>
    <w:rsid w:val="009557AC"/>
    <w:rsid w:val="0096068D"/>
    <w:rsid w:val="00962E01"/>
    <w:rsid w:val="00962ED2"/>
    <w:rsid w:val="00963494"/>
    <w:rsid w:val="00970A07"/>
    <w:rsid w:val="00970DA4"/>
    <w:rsid w:val="00972D6A"/>
    <w:rsid w:val="00973F6E"/>
    <w:rsid w:val="009826B3"/>
    <w:rsid w:val="00995497"/>
    <w:rsid w:val="00996113"/>
    <w:rsid w:val="00997281"/>
    <w:rsid w:val="009A2BFA"/>
    <w:rsid w:val="009A6DA8"/>
    <w:rsid w:val="009B5DCE"/>
    <w:rsid w:val="009B6825"/>
    <w:rsid w:val="009C4185"/>
    <w:rsid w:val="009C6B1C"/>
    <w:rsid w:val="009D0A44"/>
    <w:rsid w:val="009D2A34"/>
    <w:rsid w:val="009E3248"/>
    <w:rsid w:val="009E55FD"/>
    <w:rsid w:val="009E6E52"/>
    <w:rsid w:val="009F1642"/>
    <w:rsid w:val="009F37B7"/>
    <w:rsid w:val="009F5E43"/>
    <w:rsid w:val="009F6F20"/>
    <w:rsid w:val="00A017A5"/>
    <w:rsid w:val="00A026E5"/>
    <w:rsid w:val="00A1046F"/>
    <w:rsid w:val="00A10F02"/>
    <w:rsid w:val="00A11010"/>
    <w:rsid w:val="00A1575E"/>
    <w:rsid w:val="00A15927"/>
    <w:rsid w:val="00A164B4"/>
    <w:rsid w:val="00A16F12"/>
    <w:rsid w:val="00A178D5"/>
    <w:rsid w:val="00A2361B"/>
    <w:rsid w:val="00A26956"/>
    <w:rsid w:val="00A3047C"/>
    <w:rsid w:val="00A32AF0"/>
    <w:rsid w:val="00A336AC"/>
    <w:rsid w:val="00A42C78"/>
    <w:rsid w:val="00A52C69"/>
    <w:rsid w:val="00A53724"/>
    <w:rsid w:val="00A54A42"/>
    <w:rsid w:val="00A55310"/>
    <w:rsid w:val="00A6171D"/>
    <w:rsid w:val="00A62A0A"/>
    <w:rsid w:val="00A64F0B"/>
    <w:rsid w:val="00A70D9A"/>
    <w:rsid w:val="00A73129"/>
    <w:rsid w:val="00A75A83"/>
    <w:rsid w:val="00A7650B"/>
    <w:rsid w:val="00A82346"/>
    <w:rsid w:val="00A84FB0"/>
    <w:rsid w:val="00A91741"/>
    <w:rsid w:val="00A92BA1"/>
    <w:rsid w:val="00A92C9A"/>
    <w:rsid w:val="00A930ED"/>
    <w:rsid w:val="00A95142"/>
    <w:rsid w:val="00A96AA9"/>
    <w:rsid w:val="00A97CC6"/>
    <w:rsid w:val="00AA1168"/>
    <w:rsid w:val="00AA1B6B"/>
    <w:rsid w:val="00AB03E7"/>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444"/>
    <w:rsid w:val="00B00F0D"/>
    <w:rsid w:val="00B03B5E"/>
    <w:rsid w:val="00B064E5"/>
    <w:rsid w:val="00B10CB9"/>
    <w:rsid w:val="00B15449"/>
    <w:rsid w:val="00B15D9A"/>
    <w:rsid w:val="00B16FC7"/>
    <w:rsid w:val="00B17447"/>
    <w:rsid w:val="00B23C75"/>
    <w:rsid w:val="00B36419"/>
    <w:rsid w:val="00B417E6"/>
    <w:rsid w:val="00B43386"/>
    <w:rsid w:val="00B4513C"/>
    <w:rsid w:val="00B474C6"/>
    <w:rsid w:val="00B52D24"/>
    <w:rsid w:val="00B53CFC"/>
    <w:rsid w:val="00B55820"/>
    <w:rsid w:val="00B61020"/>
    <w:rsid w:val="00B614BE"/>
    <w:rsid w:val="00B71A25"/>
    <w:rsid w:val="00B71A6E"/>
    <w:rsid w:val="00B81A14"/>
    <w:rsid w:val="00B90A04"/>
    <w:rsid w:val="00B90B81"/>
    <w:rsid w:val="00B920AD"/>
    <w:rsid w:val="00B92610"/>
    <w:rsid w:val="00B93086"/>
    <w:rsid w:val="00BA13F1"/>
    <w:rsid w:val="00BA19ED"/>
    <w:rsid w:val="00BA300B"/>
    <w:rsid w:val="00BA4499"/>
    <w:rsid w:val="00BA4B8D"/>
    <w:rsid w:val="00BA79B9"/>
    <w:rsid w:val="00BB17DC"/>
    <w:rsid w:val="00BB2F30"/>
    <w:rsid w:val="00BB38C0"/>
    <w:rsid w:val="00BB58B7"/>
    <w:rsid w:val="00BB6457"/>
    <w:rsid w:val="00BC0F7D"/>
    <w:rsid w:val="00BC2F5A"/>
    <w:rsid w:val="00BD5671"/>
    <w:rsid w:val="00BD71ED"/>
    <w:rsid w:val="00BE01C4"/>
    <w:rsid w:val="00BE2F2F"/>
    <w:rsid w:val="00BE3255"/>
    <w:rsid w:val="00BE448B"/>
    <w:rsid w:val="00BF128E"/>
    <w:rsid w:val="00BF4565"/>
    <w:rsid w:val="00BF5887"/>
    <w:rsid w:val="00BF73CB"/>
    <w:rsid w:val="00BF7DD0"/>
    <w:rsid w:val="00C03D00"/>
    <w:rsid w:val="00C04447"/>
    <w:rsid w:val="00C04AB4"/>
    <w:rsid w:val="00C04DBF"/>
    <w:rsid w:val="00C06E73"/>
    <w:rsid w:val="00C070EC"/>
    <w:rsid w:val="00C1496A"/>
    <w:rsid w:val="00C2684C"/>
    <w:rsid w:val="00C3012D"/>
    <w:rsid w:val="00C33079"/>
    <w:rsid w:val="00C3749B"/>
    <w:rsid w:val="00C45231"/>
    <w:rsid w:val="00C50543"/>
    <w:rsid w:val="00C50674"/>
    <w:rsid w:val="00C539B3"/>
    <w:rsid w:val="00C652F7"/>
    <w:rsid w:val="00C660AB"/>
    <w:rsid w:val="00C72833"/>
    <w:rsid w:val="00C731FC"/>
    <w:rsid w:val="00C74791"/>
    <w:rsid w:val="00C76D42"/>
    <w:rsid w:val="00C771F2"/>
    <w:rsid w:val="00C80F1D"/>
    <w:rsid w:val="00C82B04"/>
    <w:rsid w:val="00C93F40"/>
    <w:rsid w:val="00C962DE"/>
    <w:rsid w:val="00C9666E"/>
    <w:rsid w:val="00CA3D0C"/>
    <w:rsid w:val="00CA5F06"/>
    <w:rsid w:val="00CB0F39"/>
    <w:rsid w:val="00CB1B8A"/>
    <w:rsid w:val="00CB7FEA"/>
    <w:rsid w:val="00CC2205"/>
    <w:rsid w:val="00CC4603"/>
    <w:rsid w:val="00CD19CA"/>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43F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2FC"/>
    <w:rsid w:val="00DA7A03"/>
    <w:rsid w:val="00DB1818"/>
    <w:rsid w:val="00DC0855"/>
    <w:rsid w:val="00DC309B"/>
    <w:rsid w:val="00DC4DA2"/>
    <w:rsid w:val="00DC4F54"/>
    <w:rsid w:val="00DD1E60"/>
    <w:rsid w:val="00DD31F9"/>
    <w:rsid w:val="00DD4C17"/>
    <w:rsid w:val="00DD768E"/>
    <w:rsid w:val="00DD7DBA"/>
    <w:rsid w:val="00DE0988"/>
    <w:rsid w:val="00DE3CDD"/>
    <w:rsid w:val="00DF2B1F"/>
    <w:rsid w:val="00DF2F1F"/>
    <w:rsid w:val="00DF4B8F"/>
    <w:rsid w:val="00DF6189"/>
    <w:rsid w:val="00DF62CD"/>
    <w:rsid w:val="00E00FED"/>
    <w:rsid w:val="00E03542"/>
    <w:rsid w:val="00E05F92"/>
    <w:rsid w:val="00E133F6"/>
    <w:rsid w:val="00E14152"/>
    <w:rsid w:val="00E16509"/>
    <w:rsid w:val="00E174D8"/>
    <w:rsid w:val="00E22308"/>
    <w:rsid w:val="00E25269"/>
    <w:rsid w:val="00E255F5"/>
    <w:rsid w:val="00E2616F"/>
    <w:rsid w:val="00E309BF"/>
    <w:rsid w:val="00E3104A"/>
    <w:rsid w:val="00E3176F"/>
    <w:rsid w:val="00E3192D"/>
    <w:rsid w:val="00E3300C"/>
    <w:rsid w:val="00E341B3"/>
    <w:rsid w:val="00E3450E"/>
    <w:rsid w:val="00E369B1"/>
    <w:rsid w:val="00E4295C"/>
    <w:rsid w:val="00E44582"/>
    <w:rsid w:val="00E454E4"/>
    <w:rsid w:val="00E4751A"/>
    <w:rsid w:val="00E50039"/>
    <w:rsid w:val="00E52814"/>
    <w:rsid w:val="00E54DB8"/>
    <w:rsid w:val="00E64FAA"/>
    <w:rsid w:val="00E65E13"/>
    <w:rsid w:val="00E66A0A"/>
    <w:rsid w:val="00E72324"/>
    <w:rsid w:val="00E72ABE"/>
    <w:rsid w:val="00E76A34"/>
    <w:rsid w:val="00E77645"/>
    <w:rsid w:val="00E82213"/>
    <w:rsid w:val="00E87FEF"/>
    <w:rsid w:val="00E90DAA"/>
    <w:rsid w:val="00E9717C"/>
    <w:rsid w:val="00EA0C19"/>
    <w:rsid w:val="00EA4756"/>
    <w:rsid w:val="00EA7CBD"/>
    <w:rsid w:val="00EB2999"/>
    <w:rsid w:val="00EB3710"/>
    <w:rsid w:val="00EB5B83"/>
    <w:rsid w:val="00EB6386"/>
    <w:rsid w:val="00EC1A01"/>
    <w:rsid w:val="00EC4A25"/>
    <w:rsid w:val="00ED77BD"/>
    <w:rsid w:val="00EE3D6E"/>
    <w:rsid w:val="00EE5618"/>
    <w:rsid w:val="00EE5AA7"/>
    <w:rsid w:val="00EE670D"/>
    <w:rsid w:val="00EF0EB0"/>
    <w:rsid w:val="00EF1E68"/>
    <w:rsid w:val="00EF4C60"/>
    <w:rsid w:val="00EF62B8"/>
    <w:rsid w:val="00EF6E07"/>
    <w:rsid w:val="00F025A2"/>
    <w:rsid w:val="00F04712"/>
    <w:rsid w:val="00F04A6F"/>
    <w:rsid w:val="00F04CE1"/>
    <w:rsid w:val="00F06D17"/>
    <w:rsid w:val="00F0730C"/>
    <w:rsid w:val="00F10E48"/>
    <w:rsid w:val="00F1670E"/>
    <w:rsid w:val="00F169DB"/>
    <w:rsid w:val="00F209F3"/>
    <w:rsid w:val="00F20E92"/>
    <w:rsid w:val="00F21311"/>
    <w:rsid w:val="00F22EC7"/>
    <w:rsid w:val="00F25C01"/>
    <w:rsid w:val="00F2605D"/>
    <w:rsid w:val="00F325C8"/>
    <w:rsid w:val="00F33B5F"/>
    <w:rsid w:val="00F3466B"/>
    <w:rsid w:val="00F406EA"/>
    <w:rsid w:val="00F46663"/>
    <w:rsid w:val="00F474CD"/>
    <w:rsid w:val="00F5250F"/>
    <w:rsid w:val="00F55388"/>
    <w:rsid w:val="00F555CF"/>
    <w:rsid w:val="00F60426"/>
    <w:rsid w:val="00F6213A"/>
    <w:rsid w:val="00F62449"/>
    <w:rsid w:val="00F62AEB"/>
    <w:rsid w:val="00F653B8"/>
    <w:rsid w:val="00F67EF5"/>
    <w:rsid w:val="00F70647"/>
    <w:rsid w:val="00F721C7"/>
    <w:rsid w:val="00F729E9"/>
    <w:rsid w:val="00F80897"/>
    <w:rsid w:val="00F84751"/>
    <w:rsid w:val="00F860DB"/>
    <w:rsid w:val="00F9029E"/>
    <w:rsid w:val="00F911E2"/>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C1192"/>
    <w:rsid w:val="00FC4484"/>
    <w:rsid w:val="00FC50E1"/>
    <w:rsid w:val="00FD5D83"/>
    <w:rsid w:val="00FD6139"/>
    <w:rsid w:val="00FD7BE7"/>
    <w:rsid w:val="00FE44D7"/>
    <w:rsid w:val="00FE706A"/>
    <w:rsid w:val="00FE7528"/>
    <w:rsid w:val="00FE7E90"/>
    <w:rsid w:val="00FF1941"/>
    <w:rsid w:val="00FF3962"/>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82</TotalTime>
  <Pages>3</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14</cp:revision>
  <cp:lastPrinted>2019-02-25T13:05:00Z</cp:lastPrinted>
  <dcterms:created xsi:type="dcterms:W3CDTF">2024-02-09T16:24:00Z</dcterms:created>
  <dcterms:modified xsi:type="dcterms:W3CDTF">2024-02-19T13:37:00Z</dcterms:modified>
  <cp:category/>
</cp:coreProperties>
</file>